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2018年度新疆喀什地区英吉沙县疾病预防控制中心部门决算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1、完成上级下达的疾病预防控制任务，负责辖区内疾病预防控制具体工作的管理和落实。</w:t>
      </w:r>
      <w:r>
        <w:rPr>
          <w:rFonts w:hint="eastAsia" w:ascii="仿宋_GB2312" w:eastAsia="仿宋_GB2312"/>
          <w:sz w:val="32"/>
          <w:szCs w:val="32"/>
        </w:rPr>
        <w:br w:type="textWrapping"/>
      </w:r>
      <w:r>
        <w:rPr>
          <w:rFonts w:hint="eastAsia" w:ascii="仿宋_GB2312" w:eastAsia="仿宋_GB2312"/>
          <w:sz w:val="32"/>
          <w:szCs w:val="32"/>
        </w:rPr>
        <w:t xml:space="preserve">    2、负责辖区内疫苗使用管理，组织实施免疫、消毒、控制病媒生物的危害。</w:t>
      </w:r>
      <w:r>
        <w:rPr>
          <w:rFonts w:hint="eastAsia" w:ascii="仿宋_GB2312" w:eastAsia="仿宋_GB2312"/>
          <w:sz w:val="32"/>
          <w:szCs w:val="32"/>
        </w:rPr>
        <w:br w:type="textWrapping"/>
      </w:r>
      <w:r>
        <w:rPr>
          <w:rFonts w:hint="eastAsia" w:ascii="仿宋_GB2312" w:eastAsia="仿宋_GB2312"/>
          <w:sz w:val="32"/>
          <w:szCs w:val="32"/>
        </w:rPr>
        <w:t xml:space="preserve">    3、负责辖区内突发公共卫生事件的监测调查与信息收集、报告，落实具体控制措施。</w:t>
      </w:r>
      <w:r>
        <w:rPr>
          <w:rFonts w:hint="eastAsia" w:ascii="仿宋_GB2312" w:eastAsia="仿宋_GB2312"/>
          <w:sz w:val="32"/>
          <w:szCs w:val="32"/>
        </w:rPr>
        <w:br w:type="textWrapping"/>
      </w:r>
      <w:r>
        <w:rPr>
          <w:rFonts w:hint="eastAsia" w:ascii="仿宋_GB2312" w:eastAsia="仿宋_GB2312"/>
          <w:sz w:val="32"/>
          <w:szCs w:val="32"/>
        </w:rPr>
        <w:t xml:space="preserve">    4、开展病原微生物常规检验和常见污染物的检验。</w:t>
      </w:r>
      <w:r>
        <w:rPr>
          <w:rFonts w:hint="eastAsia" w:ascii="仿宋_GB2312" w:eastAsia="仿宋_GB2312"/>
          <w:sz w:val="32"/>
          <w:szCs w:val="32"/>
        </w:rPr>
        <w:br w:type="textWrapping"/>
      </w:r>
      <w:r>
        <w:rPr>
          <w:rFonts w:hint="eastAsia" w:ascii="仿宋_GB2312" w:eastAsia="仿宋_GB2312"/>
          <w:sz w:val="32"/>
          <w:szCs w:val="32"/>
        </w:rPr>
        <w:t xml:space="preserve">    5、承担卫生行政部门委托的与卫生监督执法相关的检验检测任务。</w:t>
      </w:r>
      <w:r>
        <w:rPr>
          <w:rFonts w:hint="eastAsia" w:ascii="仿宋_GB2312" w:eastAsia="仿宋_GB2312"/>
          <w:sz w:val="32"/>
          <w:szCs w:val="32"/>
        </w:rPr>
        <w:br w:type="textWrapping"/>
      </w:r>
      <w:r>
        <w:rPr>
          <w:rFonts w:hint="eastAsia" w:ascii="仿宋_GB2312" w:eastAsia="仿宋_GB2312"/>
          <w:sz w:val="32"/>
          <w:szCs w:val="32"/>
        </w:rPr>
        <w:t xml:space="preserve">    6、指导辖区内医疗卫生机构、城市社区卫生组织和农村乡(镇)卫生院开展卫生防病工作，负责考核和评价，对从事疾病预防控制相关工作的人员进行培训。</w:t>
      </w:r>
      <w:r>
        <w:rPr>
          <w:rFonts w:hint="eastAsia" w:ascii="仿宋_GB2312" w:eastAsia="仿宋_GB2312"/>
          <w:sz w:val="32"/>
          <w:szCs w:val="32"/>
        </w:rPr>
        <w:br w:type="textWrapping"/>
      </w:r>
      <w:r>
        <w:rPr>
          <w:rFonts w:hint="eastAsia" w:ascii="仿宋_GB2312" w:eastAsia="仿宋_GB2312"/>
          <w:sz w:val="32"/>
          <w:szCs w:val="32"/>
        </w:rPr>
        <w:t xml:space="preserve">    7、负责疫情和公共卫生健康危害因素监测、报告，指导乡、村和有关部门收集、报告疫情。</w:t>
      </w:r>
      <w:r>
        <w:rPr>
          <w:rFonts w:hint="eastAsia" w:ascii="仿宋_GB2312" w:eastAsia="仿宋_GB2312"/>
          <w:sz w:val="32"/>
          <w:szCs w:val="32"/>
        </w:rPr>
        <w:br w:type="textWrapping"/>
      </w:r>
      <w:r>
        <w:rPr>
          <w:rFonts w:hint="eastAsia" w:ascii="仿宋_GB2312" w:eastAsia="仿宋_GB2312"/>
          <w:sz w:val="32"/>
          <w:szCs w:val="32"/>
        </w:rPr>
        <w:t xml:space="preserve">    8、开展卫生宣传教育与健康促进活动，普及卫生防病知识。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新疆喀什地区英吉沙县疾病预防控制中心</w:t>
      </w:r>
      <w:r>
        <w:rPr>
          <w:rFonts w:hint="eastAsia" w:ascii="仿宋_GB2312" w:eastAsia="仿宋_GB2312"/>
          <w:sz w:val="32"/>
          <w:szCs w:val="32"/>
        </w:rPr>
        <w:t>部门决算包括：</w:t>
      </w:r>
      <w:r>
        <w:rPr>
          <w:rFonts w:ascii="仿宋_GB2312" w:eastAsia="仿宋_GB2312"/>
          <w:sz w:val="32"/>
          <w:szCs w:val="32"/>
        </w:rPr>
        <w:t>新疆喀什地区英吉沙县疾病预防控制中心</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新疆喀什地区英吉沙县疾病预防控制中心</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新疆喀什地区英吉沙县疾病预防控制中心</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386.72</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，与上年相比，减少1.78万元，下降0.46%，减少的主要原因是：</w:t>
      </w:r>
      <w:r>
        <w:rPr>
          <w:rFonts w:hint="eastAsia" w:ascii="仿宋_GB2312" w:eastAsia="仿宋_GB2312"/>
          <w:color w:val="000000" w:themeColor="text1"/>
          <w:sz w:val="32"/>
          <w:szCs w:val="32"/>
        </w:rPr>
        <w:t>上级部门安排的项目经费减少导致收入较上年减少1.78万元，下降0.46个百分点；</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386.72</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，与上年相比，减少1.78万元，下降0.46%，减少的主要原因是：</w:t>
      </w:r>
      <w:r>
        <w:rPr>
          <w:rFonts w:hint="eastAsia" w:ascii="仿宋_GB2312" w:eastAsia="仿宋_GB2312"/>
          <w:color w:val="000000" w:themeColor="text1"/>
          <w:sz w:val="32"/>
          <w:szCs w:val="32"/>
        </w:rPr>
        <w:t>上级部门安排的项目经费减少导致支出较上年减少1.78万元，下降0.46个百分点；</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，与上年相比与上年相比增加0万元，增长0%，主要原因是：</w:t>
      </w:r>
      <w:r>
        <w:rPr>
          <w:rFonts w:ascii="仿宋_GB2312" w:eastAsia="仿宋_GB2312"/>
          <w:color w:val="000000" w:themeColor="text1"/>
          <w:sz w:val="32"/>
          <w:szCs w:val="32"/>
        </w:rPr>
        <w:t>资金执行到位，年末无结余。</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386.72</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386.72</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况：本年收入年初预算数374.95万元</w:t>
      </w:r>
      <w:r>
        <w:rPr>
          <w:rFonts w:hint="eastAsia" w:ascii="仿宋_GB2312" w:eastAsia="仿宋_GB2312"/>
          <w:sz w:val="32"/>
          <w:szCs w:val="32"/>
        </w:rPr>
        <w:t>，决算数386.72万元</w:t>
      </w:r>
      <w:r>
        <w:rPr>
          <w:rFonts w:ascii="仿宋_GB2312" w:eastAsia="仿宋_GB2312"/>
          <w:sz w:val="32"/>
          <w:szCs w:val="32"/>
        </w:rPr>
        <w:t>，预决算差异率3.14%，差异主要原因是2018年在职人员基本工资调标，列入财政拨款收入增加，导致决算数增加。</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386.72</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371.59</w:t>
      </w:r>
      <w:r>
        <w:rPr>
          <w:rFonts w:hint="eastAsia" w:ascii="仿宋_GB2312" w:eastAsia="仿宋_GB2312"/>
          <w:color w:val="000000" w:themeColor="text1"/>
          <w:sz w:val="32"/>
          <w:szCs w:val="32"/>
        </w:rPr>
        <w:t>万元，占</w:t>
      </w:r>
      <w:r>
        <w:rPr>
          <w:rFonts w:hint="eastAsia" w:ascii="仿宋_GB2312" w:eastAsia="仿宋_GB2312"/>
          <w:sz w:val="32"/>
          <w:szCs w:val="32"/>
        </w:rPr>
        <w:t>96.09%</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15.13</w:t>
      </w:r>
      <w:r>
        <w:rPr>
          <w:rFonts w:hint="eastAsia" w:ascii="仿宋_GB2312" w:eastAsia="仿宋_GB2312"/>
          <w:color w:val="000000" w:themeColor="text1"/>
          <w:sz w:val="32"/>
          <w:szCs w:val="32"/>
        </w:rPr>
        <w:t>万元，占</w:t>
      </w:r>
      <w:r>
        <w:rPr>
          <w:rFonts w:hint="eastAsia" w:ascii="仿宋_GB2312" w:eastAsia="仿宋_GB2312"/>
          <w:sz w:val="32"/>
          <w:szCs w:val="32"/>
        </w:rPr>
        <w:t>3.91%</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与年初预算数相比情况：本年支出年初预算数374.95万元，</w:t>
      </w:r>
      <w:r>
        <w:rPr>
          <w:rFonts w:hint="eastAsia" w:ascii="仿宋_GB2312" w:eastAsia="仿宋_GB2312"/>
          <w:sz w:val="32"/>
          <w:szCs w:val="32"/>
        </w:rPr>
        <w:t>决算数386.72万元</w:t>
      </w:r>
      <w:r>
        <w:rPr>
          <w:rFonts w:ascii="仿宋_GB2312" w:eastAsia="仿宋_GB2312"/>
          <w:sz w:val="32"/>
          <w:szCs w:val="32"/>
        </w:rPr>
        <w:t>，预决算差异率3.14%，差异主要原因是2018年在职人员基本工资调标，列入财政拨款支出增加，导致决算数增加。</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386.72</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，与上年相比，减少1.78万元，下降0.46%，减少的主要原因是：上级部门安排的项目经费减少导致收入较上年减少1.78万元，下降0.46个百分点。</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386.72</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，与上年相比，减少1.78万元，下降0.46%，减少的主要原因是：</w:t>
      </w:r>
      <w:r>
        <w:rPr>
          <w:rFonts w:ascii="仿宋_GB2312" w:eastAsia="仿宋_GB2312"/>
          <w:sz w:val="32"/>
          <w:szCs w:val="32"/>
        </w:rPr>
        <w:t>上级部门安排的项目经费减少导致支出较上年减少1.78万元，下降0.46个百分点。</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371.59</w:t>
      </w:r>
      <w:r>
        <w:rPr>
          <w:rFonts w:hint="eastAsia" w:ascii="仿宋_GB2312" w:eastAsia="仿宋_GB2312"/>
          <w:color w:val="000000" w:themeColor="text1"/>
          <w:sz w:val="32"/>
          <w:szCs w:val="32"/>
        </w:rPr>
        <w:t>万元，项目支出</w:t>
      </w:r>
      <w:r>
        <w:rPr>
          <w:rFonts w:hint="eastAsia" w:ascii="仿宋_GB2312" w:eastAsia="仿宋_GB2312"/>
          <w:sz w:val="32"/>
          <w:szCs w:val="32"/>
        </w:rPr>
        <w:t>15.13</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，与上年相比增加0万元，增长0%，主要原因是：资金执行到位，年末无结余。</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374.95</w:t>
      </w:r>
      <w:r>
        <w:rPr>
          <w:rFonts w:hint="eastAsia" w:ascii="仿宋_GB2312" w:eastAsia="仿宋_GB2312"/>
          <w:color w:val="000000" w:themeColor="text1"/>
          <w:sz w:val="32"/>
          <w:szCs w:val="32"/>
        </w:rPr>
        <w:t>万元，决算数</w:t>
      </w:r>
      <w:r>
        <w:rPr>
          <w:rFonts w:hint="eastAsia" w:ascii="仿宋_GB2312" w:eastAsia="仿宋_GB2312"/>
          <w:sz w:val="32"/>
          <w:szCs w:val="32"/>
        </w:rPr>
        <w:t>386.72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，预决算差异率3.14%，差异主要原因是2018年在职人员基本工资调标，列入财政拨款收入增加，导致决算数增加。</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374.95</w:t>
      </w:r>
      <w:r>
        <w:rPr>
          <w:rFonts w:hint="eastAsia" w:ascii="仿宋_GB2312" w:eastAsia="仿宋_GB2312"/>
          <w:color w:val="000000" w:themeColor="text1"/>
          <w:sz w:val="32"/>
          <w:szCs w:val="32"/>
        </w:rPr>
        <w:t>万元，决算数</w:t>
      </w:r>
      <w:r>
        <w:rPr>
          <w:rFonts w:hint="eastAsia" w:ascii="仿宋_GB2312" w:eastAsia="仿宋_GB2312"/>
          <w:sz w:val="32"/>
          <w:szCs w:val="32"/>
        </w:rPr>
        <w:t>386.72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，预决算差异率3.14%，差异主要原因是2018年在职人员基本工资调标，列入财政拨款支出增加，导致决算数增加。</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386.72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，与上年相比，减少1.78万元，下降0.46%，减少的主要原因是：上级部门安排的项目经费减少导致收入较上年减少1.78万元，下降0.46个百分点。</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386.72</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，与上年相比，减少1.78万元，下降0.46%，减少的主要原因是：上级部门安排的项目经费减少导致支出较上年减少1.78万元，下降0.46个百分点。</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医疗卫生与计划生育支出326.87万元,住房保障支出23.15万元,社会保障和就业支出36.7万元。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工资福利支出327.34万元,商品和服务支出30.14万元,对个人和家庭的补助29.24万元。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374.95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386.72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，预决算差异率3.14%，差异主要原因是2018年在职人员基本工资调标，列入财政拨款收入增加，导致决算数增加。</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374.95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386.72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，预决算差异率3.14%，差异主要原因是2018年在职人员基本工资调标，列入财政拨款支出增加，导致决算数增加。</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，与上年相比增加0万元，增长0%，主要原因是：我单位无此项预算安排。</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，与上年相比增加0万元，增长0%，主要原因是：我单位无此项预算安排。</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，预决算差异率0%，差异主要原因是我单位无此项预算安排。</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，预决算差异率0%，差异主要原因是我单位无此项预算安排。</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5"/>
      <w:bookmarkStart w:id="53" w:name="OLE_LINK26"/>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7"/>
      <w:bookmarkStart w:id="55" w:name="OLE_LINK28"/>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1.43</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hint="eastAsia" w:ascii="仿宋_GB2312" w:eastAsia="仿宋_GB2312"/>
          <w:sz w:val="32"/>
          <w:szCs w:val="32"/>
          <w:lang w:eastAsia="zh-CN"/>
        </w:rPr>
        <w:t>增加0万元，增长0%</w:t>
      </w:r>
      <w:r>
        <w:rPr>
          <w:rFonts w:hint="eastAsia" w:ascii="仿宋_GB2312" w:eastAsia="仿宋_GB2312"/>
          <w:sz w:val="32"/>
          <w:szCs w:val="32"/>
        </w:rPr>
        <w:t>，主要原因是：财政压缩经费支出。</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0%，与上年相比增加0万元，增长0%，主要原因是：我单位无此项预算安排；</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1.43</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100%，与上年相比增加0万元，增长0%，主要原因是：财政压缩经费支出；</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0%，与上年相比增加0万元，增长0%，主要原因是：我单位无此项预算安排。</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80"/>
      <w:bookmarkStart w:id="66" w:name="OLE_LINK79"/>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新疆喀什地区英吉沙县疾病预防控制中心</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4"/>
      <w:bookmarkStart w:id="69" w:name="OLE_LINK35"/>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我单位无此项预算安排。</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1.43</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0"/>
      <w:bookmarkStart w:id="76"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1.43</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购买公务用车汽车燃料费、维护、维修费。</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5</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我单位无此项预算安排</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新疆喀什地区英吉沙县疾病预防控制中心</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2</w:t>
      </w:r>
      <w:r>
        <w:rPr>
          <w:rFonts w:hint="eastAsia" w:ascii="仿宋_GB2312" w:eastAsia="仿宋_GB2312"/>
          <w:color w:val="000000" w:themeColor="text1"/>
          <w:sz w:val="32"/>
          <w:szCs w:val="32"/>
        </w:rPr>
        <w:t>万元，决算数1.43万元</w:t>
      </w:r>
      <w:r>
        <w:rPr>
          <w:rFonts w:ascii="仿宋_GB2312" w:eastAsia="仿宋_GB2312"/>
          <w:color w:val="000000" w:themeColor="text1"/>
          <w:sz w:val="32"/>
          <w:szCs w:val="32"/>
        </w:rPr>
        <w:t>，预决算差异率-28.5%，差异主要原因是财政压缩经费支出，所以决算数减少。</w:t>
      </w:r>
      <w:bookmarkEnd w:id="80"/>
      <w:bookmarkStart w:id="81" w:name="OLE_LINK86"/>
      <w:bookmarkStart w:id="82"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，预决算差异率0%，差异主要原因是我单位无此项预算安排；</w:t>
      </w:r>
      <w:bookmarkEnd w:id="81"/>
      <w:bookmarkEnd w:id="82"/>
      <w:bookmarkStart w:id="83" w:name="OLE_LINK89"/>
      <w:bookmarkStart w:id="84"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，预决算差异率0%，差异主要原因是我单位无此项预算安排；</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2</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1.43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，预决算差异率-28.5%，差异主要原因是财政压缩经费支出；</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我单位无此项预算安排。</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lang w:val="en-US" w:eastAsia="zh-CN"/>
        </w:rPr>
        <w:t>2018年度</w:t>
      </w:r>
      <w:r>
        <w:rPr>
          <w:rFonts w:hint="eastAsia" w:ascii="仿宋_GB2312" w:eastAsia="仿宋_GB2312"/>
          <w:color w:val="000000" w:themeColor="text1"/>
          <w:sz w:val="32"/>
          <w:szCs w:val="32"/>
        </w:rPr>
        <w:t>新疆喀什地区英吉沙县疾病预防控制中心日常公用经费15.02万元，与上年相比，减少20.04万元，下降57.16%，减少的主要原因是：财政压缩经费支出，公用经费减少。</w:t>
      </w:r>
      <w:bookmarkStart w:id="92" w:name="_GoBack"/>
      <w:bookmarkEnd w:id="92"/>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5</w:t>
      </w:r>
      <w:r>
        <w:rPr>
          <w:rFonts w:hint="eastAsia" w:ascii="仿宋_GB2312" w:eastAsia="仿宋_GB2312"/>
          <w:color w:val="000000" w:themeColor="text1"/>
          <w:sz w:val="32"/>
          <w:szCs w:val="32"/>
        </w:rPr>
        <w:t>辆，价值</w:t>
      </w:r>
      <w:r>
        <w:rPr>
          <w:rFonts w:hint="eastAsia" w:ascii="仿宋_GB2312" w:eastAsia="仿宋_GB2312"/>
          <w:sz w:val="32"/>
          <w:szCs w:val="32"/>
        </w:rPr>
        <w:t>83.84</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5</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单位下乡送疫苗、拉药，下乡督导等；</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疾病预防控制中心2018年度部门预算总额为15.13万元，执行金额为15.13万元，预算执行率为100%。本次自评共涉及项目数1个，其中已完成项目1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ind w:left="-1" w:right="-1" w:firstLine="646"/>
        <w:jc w:val="left"/>
      </w:pPr>
      <w:r>
        <w:rPr>
          <w:rFonts w:ascii="仿宋_GB2312" w:hAnsi="仿宋_GB2312" w:eastAsia="仿宋_GB2312" w:cs="仿宋_GB2312"/>
          <w:b w:val="0"/>
          <w:color w:val="000000"/>
          <w:sz w:val="32"/>
          <w:u w:val="none"/>
        </w:rPr>
        <w:t>2018年重大公共卫生服务项目绩效自评综述：根据年初设定的绩效目标，该项目绩效自评得分为94分。项目全年预算数为15.13万元，执行数为15.13万元，完成预算的100%。主要产出和效果：1、产出指标完成情况分析：
（1）、项目完成数量效益：
指标1：艾滋病感染孕产妇所生儿童抗病毒药物应用比例100%；
指标2：报告发现的患者（包括耐多药患者）管理率100%；
指标3：免疫规划工作接种率达到98％；
指标4：城乡安全饮水检测达到100％；
指标5：包虫病防治筛查：100％
2、效益指标情况分析：
（1）、项目经济效益：重大公共卫生补助；
（2）、项目社会效益：为患者提供各类医疗服务；
3、满意度指标情况分析：
（1）、患者对基层医疗卫生机构综合服务区服务能力建设的满意度。发现的问题及原因：无。下一步改进措施： 免疫规划工作第四季度督导还要继续，患者追踪率要继续抓，每天一报。</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210（类）04（款）01（项）指：疾病预防控制机构。221（类）02（款）01（项）指：住房公积金。210（类）04（款）09（项）指：重大公共卫生专项。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ascii="仿宋_GB2312" w:eastAsia="仿宋_GB2312"/>
          <w:sz w:val="32"/>
          <w:szCs w:val="32"/>
        </w:rPr>
      </w:pPr>
      <w:r>
        <w:rPr>
          <w:rFonts w:ascii="仿宋_GB2312" w:eastAsia="仿宋_GB2312"/>
          <w:sz w:val="32"/>
          <w:szCs w:val="32"/>
        </w:rPr>
        <w:t>英吉沙县疾病预防控制中心</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eastAsia="仿宋_GB2312"/>
          <w:sz w:val="32"/>
          <w:szCs w:val="32"/>
          <w:lang w:val="en-US" w:eastAsia="zh-CN"/>
        </w:rPr>
        <w:t>2019年8月15日</w:t>
      </w:r>
    </w:p>
    <w:p>
      <w:pPr>
        <w:spacing w:line="540" w:lineRule="exact"/>
        <w:ind w:firstLine="640" w:firstLineChars="200"/>
        <w:rPr>
          <w:rFonts w:hint="eastAsia" w:ascii="仿宋_GB2312" w:eastAsia="仿宋_GB2312"/>
          <w:sz w:val="32"/>
          <w:szCs w:val="32"/>
        </w:rPr>
        <w:sectPr>
          <w:footerReference r:id="rId5" w:type="default"/>
          <w:footerReference r:id="rId6"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8555151"/>
    <w:rsid w:val="29680352"/>
    <w:rsid w:val="2A020F75"/>
    <w:rsid w:val="2B007AEE"/>
    <w:rsid w:val="2BC14C56"/>
    <w:rsid w:val="2C1B026F"/>
    <w:rsid w:val="2CC61F55"/>
    <w:rsid w:val="2E9737C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3527BF"/>
    <w:rsid w:val="62775810"/>
    <w:rsid w:val="62D83744"/>
    <w:rsid w:val="630F4048"/>
    <w:rsid w:val="63AA02E5"/>
    <w:rsid w:val="64700DE9"/>
    <w:rsid w:val="65C613BD"/>
    <w:rsid w:val="65FD118C"/>
    <w:rsid w:val="682C3D89"/>
    <w:rsid w:val="68611305"/>
    <w:rsid w:val="68AE4AF3"/>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7</TotalTime>
  <ScaleCrop>false</ScaleCrop>
  <LinksUpToDate>false</LinksUpToDate>
  <CharactersWithSpaces>7696</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cp:lastModifiedBy>
  <dcterms:modified xsi:type="dcterms:W3CDTF">2021-06-04T11:20:32Z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